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498"/>
      </w:tblGrid>
      <w:tr w:rsidR="00110BF6" w:rsidRPr="00110BF6" w:rsidTr="00110BF6">
        <w:trPr>
          <w:trHeight w:val="1155"/>
        </w:trPr>
        <w:tc>
          <w:tcPr>
            <w:tcW w:w="3606" w:type="dxa"/>
            <w:tcBorders>
              <w:top w:val="nil"/>
              <w:left w:val="nil"/>
              <w:bottom w:val="nil"/>
              <w:right w:val="nil"/>
            </w:tcBorders>
          </w:tcPr>
          <w:p w:rsidR="00110BF6" w:rsidRPr="001E595D" w:rsidRDefault="00110BF6" w:rsidP="00110BF6">
            <w:pPr>
              <w:spacing w:after="0" w:line="360" w:lineRule="auto"/>
              <w:jc w:val="center"/>
              <w:rPr>
                <w:rFonts w:cs="Times New Roman"/>
                <w:bCs/>
                <w:color w:val="000000"/>
                <w:sz w:val="24"/>
                <w:szCs w:val="24"/>
                <w:lang w:val="nl-NL"/>
              </w:rPr>
            </w:pPr>
            <w:r w:rsidRPr="001E595D">
              <w:rPr>
                <w:rFonts w:cs="Times New Roman"/>
                <w:bCs/>
                <w:color w:val="000000"/>
                <w:sz w:val="24"/>
                <w:szCs w:val="24"/>
                <w:lang w:val="nl-NL"/>
              </w:rPr>
              <w:t xml:space="preserve">UBND HUYỆN GIA LỘC </w:t>
            </w:r>
          </w:p>
          <w:p w:rsidR="00110BF6" w:rsidRPr="001E595D" w:rsidRDefault="00110BF6" w:rsidP="00110BF6">
            <w:pPr>
              <w:spacing w:after="0" w:line="360" w:lineRule="auto"/>
              <w:jc w:val="center"/>
              <w:rPr>
                <w:rFonts w:cs="Times New Roman"/>
                <w:b/>
                <w:bCs/>
                <w:color w:val="000000"/>
                <w:sz w:val="24"/>
                <w:szCs w:val="24"/>
                <w:lang w:val="vi-VN"/>
              </w:rPr>
            </w:pPr>
            <w:r w:rsidRPr="001E595D">
              <w:rPr>
                <w:rFonts w:cs="Times New Roman"/>
                <w:b/>
                <w:bCs/>
                <w:noProof/>
                <w:color w:val="000000"/>
                <w:sz w:val="24"/>
                <w:szCs w:val="24"/>
              </w:rPr>
              <mc:AlternateContent>
                <mc:Choice Requires="wps">
                  <w:drawing>
                    <wp:anchor distT="0" distB="0" distL="114300" distR="114300" simplePos="0" relativeHeight="251659264" behindDoc="0" locked="0" layoutInCell="1" allowOverlap="1" wp14:anchorId="26194499" wp14:editId="32697248">
                      <wp:simplePos x="0" y="0"/>
                      <wp:positionH relativeFrom="column">
                        <wp:posOffset>622935</wp:posOffset>
                      </wp:positionH>
                      <wp:positionV relativeFrom="paragraph">
                        <wp:posOffset>180975</wp:posOffset>
                      </wp:positionV>
                      <wp:extent cx="8477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4.25pt" to="115.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"/>
                  </w:pict>
                </mc:Fallback>
              </mc:AlternateContent>
            </w:r>
            <w:r w:rsidRPr="001E595D">
              <w:rPr>
                <w:rFonts w:cs="Times New Roman"/>
                <w:b/>
                <w:bCs/>
                <w:color w:val="000000"/>
                <w:sz w:val="24"/>
                <w:szCs w:val="24"/>
                <w:lang w:val="nl-NL"/>
              </w:rPr>
              <w:t xml:space="preserve">TRƯỜNG TH </w:t>
            </w:r>
            <w:r w:rsidRPr="001E595D">
              <w:rPr>
                <w:rFonts w:cs="Times New Roman"/>
                <w:b/>
                <w:bCs/>
                <w:color w:val="000000"/>
                <w:sz w:val="24"/>
                <w:szCs w:val="24"/>
                <w:lang w:val="vi-VN"/>
              </w:rPr>
              <w:t>ĐỨC XƯƠNG</w:t>
            </w:r>
          </w:p>
          <w:p w:rsidR="00110BF6" w:rsidRPr="001E595D" w:rsidRDefault="00110BF6" w:rsidP="00110BF6">
            <w:pPr>
              <w:spacing w:after="0" w:line="360" w:lineRule="auto"/>
              <w:jc w:val="center"/>
              <w:rPr>
                <w:rFonts w:cs="Times New Roman"/>
                <w:b/>
                <w:bCs/>
                <w:color w:val="000000"/>
                <w:sz w:val="24"/>
                <w:szCs w:val="24"/>
                <w:lang w:val="nl-NL"/>
              </w:rPr>
            </w:pPr>
          </w:p>
          <w:p w:rsidR="00110BF6" w:rsidRPr="001E595D" w:rsidRDefault="00110BF6" w:rsidP="00110BF6">
            <w:pPr>
              <w:spacing w:after="0" w:line="360" w:lineRule="auto"/>
              <w:jc w:val="center"/>
              <w:rPr>
                <w:rFonts w:cs="Times New Roman"/>
                <w:bCs/>
                <w:color w:val="000000"/>
                <w:sz w:val="24"/>
                <w:szCs w:val="24"/>
                <w:lang w:val="vi-VN"/>
              </w:rPr>
            </w:pPr>
            <w:r w:rsidRPr="001E595D">
              <w:rPr>
                <w:rFonts w:cs="Times New Roman"/>
                <w:bCs/>
                <w:color w:val="000000"/>
                <w:sz w:val="24"/>
                <w:szCs w:val="24"/>
                <w:lang w:val="nl-NL"/>
              </w:rPr>
              <w:t>Số:</w:t>
            </w:r>
            <w:r>
              <w:rPr>
                <w:rFonts w:cs="Times New Roman"/>
                <w:bCs/>
                <w:color w:val="000000"/>
                <w:sz w:val="24"/>
                <w:szCs w:val="24"/>
                <w:lang w:val="nl-NL"/>
              </w:rPr>
              <w:t xml:space="preserve"> </w:t>
            </w:r>
            <w:r w:rsidR="00510D37">
              <w:rPr>
                <w:rFonts w:cs="Times New Roman"/>
                <w:bCs/>
                <w:color w:val="000000"/>
                <w:sz w:val="24"/>
                <w:szCs w:val="24"/>
                <w:lang w:val="nl-NL"/>
              </w:rPr>
              <w:t>1</w:t>
            </w:r>
            <w:r>
              <w:rPr>
                <w:rFonts w:cs="Times New Roman"/>
                <w:bCs/>
                <w:color w:val="000000"/>
                <w:sz w:val="24"/>
                <w:szCs w:val="24"/>
                <w:lang w:val="nl-NL"/>
              </w:rPr>
              <w:t>2</w:t>
            </w:r>
            <w:r w:rsidRPr="001E595D">
              <w:rPr>
                <w:rFonts w:cs="Times New Roman"/>
                <w:bCs/>
                <w:color w:val="000000"/>
                <w:sz w:val="24"/>
                <w:szCs w:val="24"/>
                <w:lang w:val="nl-NL"/>
              </w:rPr>
              <w:t>/</w:t>
            </w:r>
            <w:r>
              <w:rPr>
                <w:rFonts w:cs="Times New Roman"/>
                <w:bCs/>
                <w:color w:val="000000"/>
                <w:sz w:val="24"/>
                <w:szCs w:val="24"/>
                <w:lang w:val="nl-NL"/>
              </w:rPr>
              <w:t>KH</w:t>
            </w:r>
            <w:r w:rsidRPr="001E595D">
              <w:rPr>
                <w:rFonts w:cs="Times New Roman"/>
                <w:bCs/>
                <w:color w:val="000000"/>
                <w:sz w:val="24"/>
                <w:szCs w:val="24"/>
                <w:lang w:val="nl-NL"/>
              </w:rPr>
              <w:t>-TH</w:t>
            </w:r>
            <w:r w:rsidRPr="001E595D">
              <w:rPr>
                <w:rFonts w:cs="Times New Roman"/>
                <w:bCs/>
                <w:color w:val="000000"/>
                <w:sz w:val="24"/>
                <w:szCs w:val="24"/>
                <w:lang w:val="vi-VN"/>
              </w:rPr>
              <w:t>ĐX</w:t>
            </w:r>
          </w:p>
        </w:tc>
        <w:tc>
          <w:tcPr>
            <w:tcW w:w="5498" w:type="dxa"/>
            <w:tcBorders>
              <w:top w:val="nil"/>
              <w:left w:val="nil"/>
              <w:bottom w:val="nil"/>
              <w:right w:val="nil"/>
            </w:tcBorders>
          </w:tcPr>
          <w:p w:rsidR="00110BF6" w:rsidRPr="001E595D" w:rsidRDefault="00110BF6" w:rsidP="00110BF6">
            <w:pPr>
              <w:spacing w:after="0" w:line="360" w:lineRule="auto"/>
              <w:jc w:val="center"/>
              <w:rPr>
                <w:rFonts w:cs="Times New Roman"/>
                <w:b/>
                <w:bCs/>
                <w:color w:val="000000"/>
                <w:sz w:val="24"/>
                <w:szCs w:val="24"/>
                <w:lang w:val="nl-NL"/>
              </w:rPr>
            </w:pPr>
            <w:r w:rsidRPr="001E595D">
              <w:rPr>
                <w:rFonts w:cs="Times New Roman"/>
                <w:b/>
                <w:bCs/>
                <w:color w:val="000000"/>
                <w:sz w:val="24"/>
                <w:szCs w:val="24"/>
                <w:lang w:val="nl-NL"/>
              </w:rPr>
              <w:t>CỘNG HÒA XÃ HỘI CHỦ NGHĨA VIỆT NAM</w:t>
            </w:r>
          </w:p>
          <w:p w:rsidR="00110BF6" w:rsidRPr="00110BF6" w:rsidRDefault="00110BF6" w:rsidP="00110BF6">
            <w:pPr>
              <w:spacing w:after="0" w:line="360" w:lineRule="auto"/>
              <w:jc w:val="center"/>
              <w:rPr>
                <w:rFonts w:cs="Times New Roman"/>
                <w:b/>
                <w:iCs/>
                <w:color w:val="000000"/>
                <w:szCs w:val="28"/>
                <w:lang w:val="nl-NL"/>
              </w:rPr>
            </w:pPr>
            <w:r w:rsidRPr="00110BF6">
              <w:rPr>
                <w:rFonts w:cs="Times New Roman"/>
                <w:bCs/>
                <w:noProof/>
                <w:color w:val="000000"/>
                <w:szCs w:val="28"/>
              </w:rPr>
              <mc:AlternateContent>
                <mc:Choice Requires="wps">
                  <w:drawing>
                    <wp:anchor distT="0" distB="0" distL="114300" distR="114300" simplePos="0" relativeHeight="251660288" behindDoc="0" locked="0" layoutInCell="1" allowOverlap="1" wp14:anchorId="19E6CBAD" wp14:editId="46207068">
                      <wp:simplePos x="0" y="0"/>
                      <wp:positionH relativeFrom="column">
                        <wp:posOffset>752475</wp:posOffset>
                      </wp:positionH>
                      <wp:positionV relativeFrom="paragraph">
                        <wp:posOffset>195580</wp:posOffset>
                      </wp:positionV>
                      <wp:extent cx="1838325" cy="4445"/>
                      <wp:effectExtent l="0" t="0" r="28575"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5.4pt" to="20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"/>
                  </w:pict>
                </mc:Fallback>
              </mc:AlternateContent>
            </w:r>
            <w:r w:rsidRPr="00110BF6">
              <w:rPr>
                <w:rFonts w:cs="Times New Roman"/>
                <w:b/>
                <w:iCs/>
                <w:color w:val="000000"/>
                <w:szCs w:val="28"/>
                <w:lang w:val="nl-NL"/>
              </w:rPr>
              <w:t>Độc lập - Tự do - Hạnh phúc</w:t>
            </w:r>
          </w:p>
          <w:p w:rsidR="00110BF6" w:rsidRPr="001E595D" w:rsidRDefault="00110BF6" w:rsidP="00110BF6">
            <w:pPr>
              <w:spacing w:after="0" w:line="360" w:lineRule="auto"/>
              <w:jc w:val="center"/>
              <w:rPr>
                <w:rFonts w:cs="Times New Roman"/>
                <w:bCs/>
                <w:color w:val="000000"/>
                <w:sz w:val="24"/>
                <w:szCs w:val="24"/>
                <w:lang w:val="nl-NL"/>
              </w:rPr>
            </w:pPr>
          </w:p>
          <w:p w:rsidR="00110BF6" w:rsidRPr="001E595D" w:rsidRDefault="00110BF6" w:rsidP="00110BF6">
            <w:pPr>
              <w:spacing w:after="0" w:line="360" w:lineRule="auto"/>
              <w:jc w:val="center"/>
              <w:rPr>
                <w:rFonts w:cs="Times New Roman"/>
                <w:bCs/>
                <w:i/>
                <w:color w:val="000000"/>
                <w:sz w:val="24"/>
                <w:szCs w:val="24"/>
                <w:lang w:val="nl-NL"/>
              </w:rPr>
            </w:pPr>
            <w:r w:rsidRPr="001E595D">
              <w:rPr>
                <w:rFonts w:cs="Times New Roman"/>
                <w:bCs/>
                <w:i/>
                <w:color w:val="000000"/>
                <w:szCs w:val="24"/>
                <w:lang w:val="nl-NL"/>
              </w:rPr>
              <w:t xml:space="preserve">       </w:t>
            </w:r>
            <w:r w:rsidRPr="001E595D">
              <w:rPr>
                <w:rFonts w:cs="Times New Roman"/>
                <w:bCs/>
                <w:i/>
                <w:color w:val="000000"/>
                <w:szCs w:val="24"/>
                <w:lang w:val="vi-VN"/>
              </w:rPr>
              <w:t>Đức Xương</w:t>
            </w:r>
            <w:r w:rsidRPr="001E595D">
              <w:rPr>
                <w:rFonts w:cs="Times New Roman"/>
                <w:bCs/>
                <w:i/>
                <w:color w:val="000000"/>
                <w:szCs w:val="24"/>
                <w:lang w:val="nl-NL"/>
              </w:rPr>
              <w:t xml:space="preserve">, ngày </w:t>
            </w:r>
            <w:r w:rsidR="00510D37">
              <w:rPr>
                <w:rFonts w:cs="Times New Roman"/>
                <w:bCs/>
                <w:i/>
                <w:color w:val="000000"/>
                <w:szCs w:val="24"/>
                <w:lang w:val="nl-NL"/>
              </w:rPr>
              <w:t>16</w:t>
            </w:r>
            <w:r w:rsidRPr="001E595D">
              <w:rPr>
                <w:rFonts w:cs="Times New Roman"/>
                <w:bCs/>
                <w:i/>
                <w:color w:val="000000"/>
                <w:szCs w:val="24"/>
                <w:lang w:val="nl-NL"/>
              </w:rPr>
              <w:t xml:space="preserve"> tháng </w:t>
            </w:r>
            <w:r w:rsidR="00510D37">
              <w:rPr>
                <w:rFonts w:cs="Times New Roman"/>
                <w:bCs/>
                <w:i/>
                <w:color w:val="000000"/>
                <w:szCs w:val="24"/>
                <w:lang w:val="nl-NL"/>
              </w:rPr>
              <w:t>9</w:t>
            </w:r>
            <w:r w:rsidRPr="001E595D">
              <w:rPr>
                <w:rFonts w:cs="Times New Roman"/>
                <w:bCs/>
                <w:i/>
                <w:color w:val="000000"/>
                <w:szCs w:val="24"/>
                <w:lang w:val="nl-NL"/>
              </w:rPr>
              <w:t xml:space="preserve"> năm </w:t>
            </w:r>
            <w:r w:rsidR="00510D37">
              <w:rPr>
                <w:rFonts w:cs="Times New Roman"/>
                <w:bCs/>
                <w:i/>
                <w:color w:val="000000"/>
                <w:szCs w:val="24"/>
                <w:lang w:val="nl-NL"/>
              </w:rPr>
              <w:t>2023</w:t>
            </w:r>
          </w:p>
        </w:tc>
      </w:tr>
    </w:tbl>
    <w:p w:rsidR="00110BF6" w:rsidRDefault="00110BF6" w:rsidP="00110BF6">
      <w:pPr>
        <w:spacing w:after="0" w:line="360" w:lineRule="auto"/>
        <w:jc w:val="center"/>
        <w:rPr>
          <w:rFonts w:eastAsia="Times New Roman" w:cs="Times New Roman"/>
          <w:b/>
          <w:bCs/>
          <w:color w:val="333333"/>
          <w:szCs w:val="28"/>
          <w:shd w:val="clear" w:color="auto" w:fill="FFFFFF"/>
        </w:rPr>
      </w:pPr>
    </w:p>
    <w:p w:rsidR="00110BF6" w:rsidRPr="00110BF6" w:rsidRDefault="00110BF6" w:rsidP="00110BF6">
      <w:pPr>
        <w:spacing w:after="0" w:line="360" w:lineRule="auto"/>
        <w:jc w:val="center"/>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KẾ HOẠCH</w:t>
      </w:r>
    </w:p>
    <w:p w:rsidR="00110BF6" w:rsidRPr="00110BF6" w:rsidRDefault="00110BF6" w:rsidP="00110BF6">
      <w:pPr>
        <w:spacing w:after="0" w:line="360" w:lineRule="auto"/>
        <w:jc w:val="center"/>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 xml:space="preserve">Triển khai thực hiện công khai đối với Trường Tiểu học </w:t>
      </w:r>
      <w:r>
        <w:rPr>
          <w:rFonts w:eastAsia="Times New Roman" w:cs="Times New Roman"/>
          <w:b/>
          <w:bCs/>
          <w:color w:val="333333"/>
          <w:szCs w:val="28"/>
          <w:shd w:val="clear" w:color="auto" w:fill="FFFFFF"/>
        </w:rPr>
        <w:t>Đức Xương</w:t>
      </w:r>
    </w:p>
    <w:p w:rsidR="00110BF6" w:rsidRPr="00110BF6" w:rsidRDefault="00110BF6" w:rsidP="00110BF6">
      <w:pPr>
        <w:spacing w:after="0" w:line="360" w:lineRule="auto"/>
        <w:jc w:val="center"/>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 xml:space="preserve">Năm học </w:t>
      </w:r>
      <w:r w:rsidR="00510D37">
        <w:rPr>
          <w:rFonts w:eastAsia="Times New Roman" w:cs="Times New Roman"/>
          <w:b/>
          <w:bCs/>
          <w:color w:val="333333"/>
          <w:szCs w:val="28"/>
          <w:shd w:val="clear" w:color="auto" w:fill="FFFFFF"/>
        </w:rPr>
        <w:t>2023</w:t>
      </w:r>
      <w:r w:rsidRPr="00110BF6">
        <w:rPr>
          <w:rFonts w:eastAsia="Times New Roman" w:cs="Times New Roman"/>
          <w:b/>
          <w:bCs/>
          <w:color w:val="333333"/>
          <w:szCs w:val="28"/>
          <w:shd w:val="clear" w:color="auto" w:fill="FFFFFF"/>
        </w:rPr>
        <w:t>-</w:t>
      </w:r>
      <w:r w:rsidR="00510D37">
        <w:rPr>
          <w:rFonts w:eastAsia="Times New Roman" w:cs="Times New Roman"/>
          <w:b/>
          <w:bCs/>
          <w:color w:val="333333"/>
          <w:szCs w:val="28"/>
          <w:shd w:val="clear" w:color="auto" w:fill="FFFFFF"/>
        </w:rPr>
        <w:t>2024</w:t>
      </w:r>
    </w:p>
    <w:p w:rsidR="00110BF6" w:rsidRPr="00110BF6" w:rsidRDefault="00110BF6" w:rsidP="00110BF6">
      <w:pPr>
        <w:spacing w:after="150" w:line="360" w:lineRule="auto"/>
        <w:rPr>
          <w:rFonts w:ascii="Roboto" w:eastAsia="Times New Roman" w:hAnsi="Roboto" w:cs="Times New Roman"/>
          <w:color w:val="333333"/>
          <w:sz w:val="20"/>
          <w:szCs w:val="20"/>
        </w:rPr>
      </w:pPr>
      <w:r w:rsidRPr="00110BF6">
        <w:rPr>
          <w:rFonts w:ascii="Roboto" w:eastAsia="Times New Roman" w:hAnsi="Roboto" w:cs="Times New Roman"/>
          <w:color w:val="333333"/>
          <w:sz w:val="20"/>
          <w:szCs w:val="20"/>
        </w:rPr>
        <w:t> </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Thông tư số 36/2017/TT-BGDĐT ngày 28 tháng 12 năm 2017 của Bộ Giáo dục và Đào tạo về việc ban hành Quy chế thực hiện công khai đối với cơ sở giáo dục của hệ thống giáo dục quốc dân;</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xml:space="preserve">Thực hiện hướng dẫn, chỉ đạo của Phòng Giáo dục và Đào tạo </w:t>
      </w:r>
      <w:r>
        <w:rPr>
          <w:rFonts w:eastAsia="Times New Roman" w:cs="Times New Roman"/>
          <w:color w:val="333333"/>
          <w:szCs w:val="28"/>
          <w:shd w:val="clear" w:color="auto" w:fill="FFFFFF"/>
        </w:rPr>
        <w:t>Gia Lộc</w:t>
      </w:r>
      <w:r w:rsidRPr="00110BF6">
        <w:rPr>
          <w:rFonts w:eastAsia="Times New Roman" w:cs="Times New Roman"/>
          <w:color w:val="333333"/>
          <w:szCs w:val="28"/>
          <w:shd w:val="clear" w:color="auto" w:fill="FFFFFF"/>
        </w:rPr>
        <w:t xml:space="preserve">, Trường Tiểu học </w:t>
      </w:r>
      <w:r>
        <w:rPr>
          <w:rFonts w:eastAsia="Times New Roman" w:cs="Times New Roman"/>
          <w:color w:val="333333"/>
          <w:szCs w:val="28"/>
          <w:shd w:val="clear" w:color="auto" w:fill="FFFFFF"/>
        </w:rPr>
        <w:t>Đức Xương</w:t>
      </w:r>
      <w:r w:rsidRPr="00110BF6">
        <w:rPr>
          <w:rFonts w:eastAsia="Times New Roman" w:cs="Times New Roman"/>
          <w:color w:val="333333"/>
          <w:szCs w:val="28"/>
          <w:shd w:val="clear" w:color="auto" w:fill="FFFFFF"/>
        </w:rPr>
        <w:t xml:space="preserve"> xây dựng kế hoạch triển khai thực hiện công khai năm học </w:t>
      </w:r>
      <w:r w:rsidR="00510D37">
        <w:rPr>
          <w:rFonts w:eastAsia="Times New Roman" w:cs="Times New Roman"/>
          <w:color w:val="333333"/>
          <w:szCs w:val="28"/>
          <w:shd w:val="clear" w:color="auto" w:fill="FFFFFF"/>
        </w:rPr>
        <w:t>2023</w:t>
      </w:r>
      <w:r w:rsidRPr="00110BF6">
        <w:rPr>
          <w:rFonts w:eastAsia="Times New Roman" w:cs="Times New Roman"/>
          <w:color w:val="333333"/>
          <w:szCs w:val="28"/>
          <w:shd w:val="clear" w:color="auto" w:fill="FFFFFF"/>
        </w:rPr>
        <w:t>-</w:t>
      </w:r>
      <w:r w:rsidR="00510D37">
        <w:rPr>
          <w:rFonts w:eastAsia="Times New Roman" w:cs="Times New Roman"/>
          <w:color w:val="333333"/>
          <w:szCs w:val="28"/>
          <w:shd w:val="clear" w:color="auto" w:fill="FFFFFF"/>
        </w:rPr>
        <w:t>2024</w:t>
      </w:r>
      <w:bookmarkStart w:id="0" w:name="_GoBack"/>
      <w:bookmarkEnd w:id="0"/>
      <w:r w:rsidRPr="00110BF6">
        <w:rPr>
          <w:rFonts w:eastAsia="Times New Roman" w:cs="Times New Roman"/>
          <w:color w:val="333333"/>
          <w:szCs w:val="28"/>
          <w:shd w:val="clear" w:color="auto" w:fill="FFFFFF"/>
        </w:rPr>
        <w:t xml:space="preserve"> như sau:</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I. MỤC ĐÍCH YÊU CẦU</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1. Mục đích</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Thực hiện công khai trong nhà trường nhằm nâng cao tính minh bạch, phát huy dân chủ, tăng cường tính tự chủ và tự chịu trách nhiệm của nhà trường trong quản lý nguồn lực và đảm bảo chất lượng giáo dục để xã hội, nhân dân, cán bộ, giáo viên, nhân viên tham gia giám sát và đánh giá theo quy định của pháp luật.</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2. Yêu cầu</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Việc thực hiện công khai phải đảm bảo đầy đủ chính xác các nội dung, hình thức và thời điểm theo quy định.</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II. NỘI DUNG</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1. Các nội dung công khai</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lastRenderedPageBreak/>
        <w:t>1.1. Công khai cam kết chất lượng giáo dục và chất lượng giáo dục thực tế</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i/>
          <w:iCs/>
          <w:color w:val="333333"/>
          <w:szCs w:val="28"/>
          <w:shd w:val="clear" w:color="auto" w:fill="FFFFFF"/>
        </w:rPr>
        <w:t>a) Cam kết chất lượng giáo dục:</w:t>
      </w:r>
      <w:r w:rsidRPr="00110BF6">
        <w:rPr>
          <w:rFonts w:eastAsia="Times New Roman" w:cs="Times New Roman"/>
          <w:color w:val="333333"/>
          <w:szCs w:val="28"/>
          <w:shd w:val="clear" w:color="auto" w:fill="FFFFFF"/>
        </w:rPr>
        <w:t> Điều kiện về đối tượng tuyển sinh vào lớp 1 và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trường, đội ngũ giáo viên, cán bộ quản lý và phương pháp quản lý nhà trường; kết quả đạo đức, học tập, sức khỏe của học sinh dự kiến đạt được; khả năng học tập tiếp tục của học sinh </w:t>
      </w:r>
      <w:r w:rsidRPr="00110BF6">
        <w:rPr>
          <w:rFonts w:eastAsia="Times New Roman" w:cs="Times New Roman"/>
          <w:i/>
          <w:iCs/>
          <w:color w:val="333333"/>
          <w:szCs w:val="28"/>
          <w:shd w:val="clear" w:color="auto" w:fill="FFFFFF"/>
        </w:rPr>
        <w:t>(Biểu mẫu 05 của Thông tư 36/2017).</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i/>
          <w:iCs/>
          <w:color w:val="333333"/>
          <w:szCs w:val="28"/>
          <w:shd w:val="clear" w:color="auto" w:fill="FFFFFF"/>
        </w:rPr>
        <w:t>b) Chất lượng giáo dục thực tế:</w:t>
      </w:r>
      <w:r w:rsidRPr="00110BF6">
        <w:rPr>
          <w:rFonts w:eastAsia="Times New Roman" w:cs="Times New Roman"/>
          <w:color w:val="333333"/>
          <w:szCs w:val="28"/>
          <w:shd w:val="clear" w:color="auto" w:fill="FFFFFF"/>
        </w:rPr>
        <w:t> Số học sinh xếp loại theo từng năng lực, phẩm chất, tổng hợp kết quả cuối năm học; tình hình sức khỏe của học sinh; số học sinh đạt giải các kỳ thi học sinh giỏi, số học sinh dự xét hoàn thành chương trình tiểu học, số học sinh được công nhận hoàn thành chương trình tiểu học </w:t>
      </w:r>
      <w:r w:rsidRPr="00110BF6">
        <w:rPr>
          <w:rFonts w:eastAsia="Times New Roman" w:cs="Times New Roman"/>
          <w:i/>
          <w:iCs/>
          <w:color w:val="333333"/>
          <w:szCs w:val="28"/>
          <w:shd w:val="clear" w:color="auto" w:fill="FFFFFF"/>
        </w:rPr>
        <w:t>(Biểu mẫu 06 của Thông tư 36/2017).</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i/>
          <w:iCs/>
          <w:color w:val="333333"/>
          <w:szCs w:val="28"/>
          <w:shd w:val="clear" w:color="auto" w:fill="FFFFFF"/>
        </w:rPr>
        <w:t>c) Mức chất lượng tối thiểu, đạt chuẩn quốc gia:</w:t>
      </w:r>
      <w:r w:rsidRPr="00110BF6">
        <w:rPr>
          <w:rFonts w:eastAsia="Times New Roman" w:cs="Times New Roman"/>
          <w:color w:val="333333"/>
          <w:szCs w:val="28"/>
          <w:shd w:val="clear" w:color="auto" w:fill="FFFFFF"/>
        </w:rPr>
        <w:t> Kế hoạch thực hiện mức chất lượng tối thiểu và kết quả đánh giá mức chất lượng tối thiểu. Kế hoạch xây dựng, duy trì trường đạt chuẩn quốc gia và kết quả đạt được.</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i/>
          <w:iCs/>
          <w:color w:val="333333"/>
          <w:szCs w:val="28"/>
          <w:shd w:val="clear" w:color="auto" w:fill="FFFFFF"/>
        </w:rPr>
        <w:t>d) Kiểm định cơ sở giáo dục:</w:t>
      </w:r>
      <w:r w:rsidRPr="00110BF6">
        <w:rPr>
          <w:rFonts w:eastAsia="Times New Roman" w:cs="Times New Roman"/>
          <w:color w:val="333333"/>
          <w:szCs w:val="28"/>
          <w:shd w:val="clear" w:color="auto" w:fill="FFFFFF"/>
        </w:rPr>
        <w:t> Kế hoạch kiểm định chất lượng giáo dục, báo cáo tự đánh giá, báo cáo đánh giá ngoài, kết quả công nhận đạt hoặc không đạt tiêu chuẩn chất lượng giáo dục (nếu có ở cấp độ nào).</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1.2. Công khai điều kiện đảm bảo chất lượng cơ sở giáo dục</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i/>
          <w:iCs/>
          <w:color w:val="333333"/>
          <w:szCs w:val="28"/>
          <w:shd w:val="clear" w:color="auto" w:fill="FFFFFF"/>
        </w:rPr>
        <w:t>a) Cơ sở vật chất:</w:t>
      </w:r>
      <w:r w:rsidRPr="00110BF6">
        <w:rPr>
          <w:rFonts w:eastAsia="Times New Roman" w:cs="Times New Roman"/>
          <w:color w:val="333333"/>
          <w:szCs w:val="28"/>
          <w:shd w:val="clear" w:color="auto" w:fill="FFFFFF"/>
        </w:rPr>
        <w:t> Số lượng, diện tích các loại phòng học, phòng chức năng, tính bình quân trên một học sinh; số thiết bị dạy học đang sử dụng, tính bình quân trên một lớp </w:t>
      </w:r>
      <w:r w:rsidRPr="00110BF6">
        <w:rPr>
          <w:rFonts w:eastAsia="Times New Roman" w:cs="Times New Roman"/>
          <w:i/>
          <w:iCs/>
          <w:color w:val="333333"/>
          <w:szCs w:val="28"/>
          <w:shd w:val="clear" w:color="auto" w:fill="FFFFFF"/>
        </w:rPr>
        <w:t>(Biểu mẫu 07 Thông tư 36/2017).</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i/>
          <w:iCs/>
          <w:color w:val="333333"/>
          <w:szCs w:val="28"/>
          <w:shd w:val="clear" w:color="auto" w:fill="FFFFFF"/>
        </w:rPr>
        <w:t>b) Đội ngũ nhà giáo, cán bộ quản lý và nhân viên</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Số lượng, chức danh có phân biệt theo hình thức tuyển dụng và trình độ đào tạo </w:t>
      </w:r>
      <w:r w:rsidRPr="00110BF6">
        <w:rPr>
          <w:rFonts w:eastAsia="Times New Roman" w:cs="Times New Roman"/>
          <w:i/>
          <w:iCs/>
          <w:color w:val="333333"/>
          <w:szCs w:val="28"/>
          <w:shd w:val="clear" w:color="auto" w:fill="FFFFFF"/>
        </w:rPr>
        <w:t>(Biểu mẫu 08 Thông tư 36/2017). </w:t>
      </w:r>
      <w:r w:rsidRPr="00110BF6">
        <w:rPr>
          <w:rFonts w:eastAsia="Times New Roman" w:cs="Times New Roman"/>
          <w:color w:val="333333"/>
          <w:szCs w:val="28"/>
          <w:shd w:val="clear" w:color="auto" w:fill="FFFFFF"/>
        </w:rPr>
        <w:t xml:space="preserve">Số lượng giáo viên, cán bộ quản lý và nhân viên </w:t>
      </w:r>
      <w:r w:rsidRPr="00110BF6">
        <w:rPr>
          <w:rFonts w:eastAsia="Times New Roman" w:cs="Times New Roman"/>
          <w:color w:val="333333"/>
          <w:szCs w:val="28"/>
          <w:shd w:val="clear" w:color="auto" w:fill="FFFFFF"/>
        </w:rPr>
        <w:lastRenderedPageBreak/>
        <w:t>được đào tạo, bồi dưỡng; hình thức, nội dung, trình độ và thời gian đào tạo và bồi dưỡng trong năm học và những năm tiếp theo.</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1.3. Công khai thu chi tài chính</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Thực hiện quy chế công khai tài chính theo Thông tư số 107/2017/TT-BTC ngày 10/10/2017 của Thủ tướng Chính phủ về Quy chế công khai tài chính đối với đơn vị được cấp ngân sách nhà nước, các quỹ có nguồn từ ngân sách nhà nước và các quỹ có nguồn từ các khoản đóng góp của nhân dân và theo Thông tư số 61/2017/TT-BGDĐT ngày 15/6/2017, Thông tư 90/2018/TT-BTC ngày 29/9/2018 của Bộ Tài chính hướng dẫn thực hiện qui chế công khai tài chính đối với các đơn vị dự toán ngân sách và các tổ chức được ngân sách nhà nước hỗ trợ.</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a) Các khoản thu (hỗ trợ) của phụ huynh học sinh, các nhà hảo tâm trong năm học 2021-2022 và dự kiến cho năm học 2022-2023.</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b) Ngân sách nhà nước cấp (theo phân bổ dự toán UBND huyện cấp).</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Các khoản chi trong năm học: các khoản chi lương, chi bồi dưỡng chuyên môn, chi hội 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c) Chính sách và kết quả thực hiện chính sách hàng năm về trợ cấp và miễn, giảm các khoản đóng góp đối với người học thuộc diện được hưởng chính sách xã hội theo quy định.</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xml:space="preserve">Thực hiện niêm yết các biểu mẫu công khai dự toán, quyết toán thu chi tài chính theo quy định (Thông tư số 107/2017/TT-BTC ngày 10/10/2017 của Thủ tướng Chính phủ về Quy chế công khai tài chính đối với đơn vị được cấp ngân sách nhà nước. Thông tư số 61/2017/TT-BGDĐT ngày 15/6/2017, Thông tư 90/2018/TT-BTC </w:t>
      </w:r>
      <w:r w:rsidRPr="00110BF6">
        <w:rPr>
          <w:rFonts w:eastAsia="Times New Roman" w:cs="Times New Roman"/>
          <w:color w:val="333333"/>
          <w:szCs w:val="28"/>
          <w:shd w:val="clear" w:color="auto" w:fill="FFFFFF"/>
        </w:rPr>
        <w:lastRenderedPageBreak/>
        <w:t>ngày 29/9/2018 của Bộ Tài chính hướng dẫn thực hiện quy chế công khai tài chính đối với các đơn vị dự toán ngân sách và các tổ chức được ngân sách nhà nước hỗ trợ.</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i/>
          <w:iCs/>
          <w:color w:val="333333"/>
          <w:szCs w:val="28"/>
          <w:shd w:val="clear" w:color="auto" w:fill="FFFFFF"/>
        </w:rPr>
        <w:t>2. Về hình thức và thời điểm công khai</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Công khai trên các phương tiện thông tin đại chúng (Website của nhà trường), các cuộc họp phụ huynh của Nhà trường.</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Công khai trong các cuộc họp của cán bộ giáo viên, nhân viên nhà trường vào đầu năm học, đảm bảo tính đầy đủ, chính xác và cập nhật thường xuyên  khi có thông tin mới hoặc thay đổi.</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Niêm yết </w:t>
      </w:r>
      <w:r w:rsidRPr="00110BF6">
        <w:rPr>
          <w:rFonts w:eastAsia="Times New Roman" w:cs="Times New Roman"/>
          <w:i/>
          <w:iCs/>
          <w:color w:val="333333"/>
          <w:szCs w:val="28"/>
          <w:shd w:val="clear" w:color="auto" w:fill="FFFFFF"/>
        </w:rPr>
        <w:t>(có biên bản)</w:t>
      </w:r>
      <w:r w:rsidRPr="00110BF6">
        <w:rPr>
          <w:rFonts w:eastAsia="Times New Roman" w:cs="Times New Roman"/>
          <w:color w:val="333333"/>
          <w:szCs w:val="28"/>
          <w:shd w:val="clear" w:color="auto" w:fill="FFFFFF"/>
        </w:rPr>
        <w:t> công khai tại bảng tin nhà trường đảm bảo thuận tiện cho cha mẹ học sinh xem xét. Thời điểm công bố </w:t>
      </w:r>
      <w:r w:rsidRPr="00110BF6">
        <w:rPr>
          <w:rFonts w:eastAsia="Times New Roman" w:cs="Times New Roman"/>
          <w:i/>
          <w:iCs/>
          <w:color w:val="333333"/>
          <w:szCs w:val="28"/>
          <w:shd w:val="clear" w:color="auto" w:fill="FFFFFF"/>
        </w:rPr>
        <w:t>(từ ngày 01 đến ngày 6 tháng 6 hàng năm</w:t>
      </w:r>
      <w:r w:rsidRPr="00110BF6">
        <w:rPr>
          <w:rFonts w:eastAsia="Times New Roman" w:cs="Times New Roman"/>
          <w:color w:val="333333"/>
          <w:szCs w:val="28"/>
          <w:shd w:val="clear" w:color="auto" w:fill="FFFFFF"/>
        </w:rPr>
        <w:t>), cập nhật đầu năm học </w:t>
      </w:r>
      <w:r w:rsidRPr="00110BF6">
        <w:rPr>
          <w:rFonts w:eastAsia="Times New Roman" w:cs="Times New Roman"/>
          <w:i/>
          <w:iCs/>
          <w:color w:val="333333"/>
          <w:szCs w:val="28"/>
          <w:shd w:val="clear" w:color="auto" w:fill="FFFFFF"/>
        </w:rPr>
        <w:t>(từ ngày 15 đến 25 tháng 9 năm đó)</w:t>
      </w:r>
      <w:r w:rsidRPr="00110BF6">
        <w:rPr>
          <w:rFonts w:eastAsia="Times New Roman" w:cs="Times New Roman"/>
          <w:color w:val="333333"/>
          <w:szCs w:val="28"/>
          <w:shd w:val="clear" w:color="auto" w:fill="FFFFFF"/>
        </w:rPr>
        <w:t> hoặc khi có thay đổi nội dung liên quan.</w:t>
      </w:r>
    </w:p>
    <w:p w:rsidR="00110BF6" w:rsidRPr="00110BF6" w:rsidRDefault="00110BF6" w:rsidP="00110BF6">
      <w:pPr>
        <w:spacing w:after="150" w:line="360" w:lineRule="auto"/>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 Đối với nội dung các khoản thu từ nguồn x</w:t>
      </w:r>
      <w:r>
        <w:rPr>
          <w:rFonts w:eastAsia="Times New Roman" w:cs="Times New Roman"/>
          <w:color w:val="333333"/>
          <w:szCs w:val="28"/>
          <w:shd w:val="clear" w:color="auto" w:fill="FFFFFF"/>
        </w:rPr>
        <w:t>ã</w:t>
      </w:r>
      <w:r w:rsidRPr="00110BF6">
        <w:rPr>
          <w:rFonts w:eastAsia="Times New Roman" w:cs="Times New Roman"/>
          <w:color w:val="333333"/>
          <w:szCs w:val="28"/>
          <w:shd w:val="clear" w:color="auto" w:fill="FFFFFF"/>
        </w:rPr>
        <w:t xml:space="preserve"> hội hóa trong năm học 202</w:t>
      </w:r>
      <w:r>
        <w:rPr>
          <w:rFonts w:eastAsia="Times New Roman" w:cs="Times New Roman"/>
          <w:color w:val="333333"/>
          <w:szCs w:val="28"/>
          <w:shd w:val="clear" w:color="auto" w:fill="FFFFFF"/>
        </w:rPr>
        <w:t>1</w:t>
      </w:r>
      <w:r w:rsidRPr="00110BF6">
        <w:rPr>
          <w:rFonts w:eastAsia="Times New Roman" w:cs="Times New Roman"/>
          <w:color w:val="333333"/>
          <w:szCs w:val="28"/>
          <w:shd w:val="clear" w:color="auto" w:fill="FFFFFF"/>
        </w:rPr>
        <w:t>-202</w:t>
      </w:r>
      <w:r>
        <w:rPr>
          <w:rFonts w:eastAsia="Times New Roman" w:cs="Times New Roman"/>
          <w:color w:val="333333"/>
          <w:szCs w:val="28"/>
          <w:shd w:val="clear" w:color="auto" w:fill="FFFFFF"/>
        </w:rPr>
        <w:t>2</w:t>
      </w:r>
      <w:r w:rsidRPr="00110BF6">
        <w:rPr>
          <w:rFonts w:eastAsia="Times New Roman" w:cs="Times New Roman"/>
          <w:color w:val="333333"/>
          <w:szCs w:val="28"/>
          <w:shd w:val="clear" w:color="auto" w:fill="FFFFFF"/>
        </w:rPr>
        <w:t xml:space="preserve"> và dự kiến cho năm học tiếp theo, phổ biến trong cuộc họp cha mẹ học sinh và niêm yết trên bảng tin của nhà trường đầu năm học 202</w:t>
      </w:r>
      <w:r>
        <w:rPr>
          <w:rFonts w:eastAsia="Times New Roman" w:cs="Times New Roman"/>
          <w:color w:val="333333"/>
          <w:szCs w:val="28"/>
          <w:shd w:val="clear" w:color="auto" w:fill="FFFFFF"/>
        </w:rPr>
        <w:t>2</w:t>
      </w:r>
      <w:r w:rsidRPr="00110BF6">
        <w:rPr>
          <w:rFonts w:eastAsia="Times New Roman" w:cs="Times New Roman"/>
          <w:color w:val="333333"/>
          <w:szCs w:val="28"/>
          <w:shd w:val="clear" w:color="auto" w:fill="FFFFFF"/>
        </w:rPr>
        <w:t>-202</w:t>
      </w:r>
      <w:r>
        <w:rPr>
          <w:rFonts w:eastAsia="Times New Roman" w:cs="Times New Roman"/>
          <w:color w:val="333333"/>
          <w:szCs w:val="28"/>
          <w:shd w:val="clear" w:color="auto" w:fill="FFFFFF"/>
        </w:rPr>
        <w:t>3</w:t>
      </w:r>
      <w:r w:rsidRPr="00110BF6">
        <w:rPr>
          <w:rFonts w:eastAsia="Times New Roman" w:cs="Times New Roman"/>
          <w:color w:val="333333"/>
          <w:szCs w:val="28"/>
          <w:shd w:val="clear" w:color="auto" w:fill="FFFFFF"/>
        </w:rPr>
        <w:t>.</w:t>
      </w:r>
    </w:p>
    <w:p w:rsidR="00110BF6" w:rsidRPr="00110BF6" w:rsidRDefault="00110BF6" w:rsidP="00110BF6">
      <w:pPr>
        <w:spacing w:after="150" w:line="360" w:lineRule="auto"/>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w:t>
      </w:r>
      <w:r w:rsidRPr="00110BF6">
        <w:rPr>
          <w:rFonts w:eastAsia="Times New Roman" w:cs="Times New Roman"/>
          <w:b/>
          <w:bCs/>
          <w:color w:val="333333"/>
          <w:szCs w:val="28"/>
          <w:shd w:val="clear" w:color="auto" w:fill="FFFFFF"/>
        </w:rPr>
        <w:t>III. TỔ CHỨC THỰC HIỆN</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1. Thành lập ban chỉ đạo</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Thành lập Ban chỉ đạo thực hiện quy chế công khai cấp trường gồm các thành viên sau: Hiệu trưởng, phó hiệu trưởng, Chủ tịch Công đoàn, Tổ trưởng chuyên môn, kế toán, thư ký.</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2. Tổ chức thực hiện</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xml:space="preserve">- Xây dựng kế hoạch thực hiện Thông tư 36/2017/TT-BGDĐT ngày 28 tháng 12 năm 2017 của Bộ Giáo dục và Đào tạo về việc ban hành Quy chế thực hiện công khai đối với cơ sở giáo dục của hệ thống giáo dục quốc dân, Thông tư số 61/2017/TT-BGDĐT ngày 15/6/2017, Thông tư 90/2018/TT-BTC ngày 29/9/2018 của Bộ Tài </w:t>
      </w:r>
      <w:r w:rsidRPr="00110BF6">
        <w:rPr>
          <w:rFonts w:eastAsia="Times New Roman" w:cs="Times New Roman"/>
          <w:color w:val="333333"/>
          <w:szCs w:val="28"/>
          <w:shd w:val="clear" w:color="auto" w:fill="FFFFFF"/>
        </w:rPr>
        <w:lastRenderedPageBreak/>
        <w:t>chính hướng dẫn thực hiện qui chế công khai tài chính đối với các đơn vị dự toán ngân sách và các tổ chức được ngân sách nhà nước hỗ trợ.</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Thông qua Hội nghị CC, VC đầu năm học:</w:t>
      </w:r>
    </w:p>
    <w:p w:rsidR="00110BF6" w:rsidRPr="00110BF6" w:rsidRDefault="00110BF6" w:rsidP="00110BF6">
      <w:pPr>
        <w:spacing w:after="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GV đăng ký chất lượng môn dạy, chất lượng lớp chủ nhiệm và danh hiệu thi đua cá nhân.</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pacing w:val="-6"/>
          <w:szCs w:val="28"/>
          <w:shd w:val="clear" w:color="auto" w:fill="FFFFFF"/>
        </w:rPr>
        <w:t>+ Tổ chuyên môn đăng ký chất lượng hoạt động của tổ và số lượng HS đạt giải trong các hội thi, kế hoạch bồi dưỡng GV, phương pháp nâng cao chất lượng giáo dục của tổ.</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Công đoàn, Liên đội phát động thi đua tạo không khí tích cực học tập, rèn luyện trong đội ngũ GV và HS.</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pacing w:val="-6"/>
          <w:szCs w:val="28"/>
          <w:shd w:val="clear" w:color="auto" w:fill="FFFFFF"/>
        </w:rPr>
        <w:t>- Tổng hợp kết quả học tập của HS vào cuối học kỳ và cuối năm học có so sánh đánh giá phân tích kết quả so với những năm học trước để thực hiện công khai.</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Thực hiện đánh giá phân loại GV hàng năm để thực hiện công khai chất lượng đội ngũ.</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Báo cáo về Phòng GD&amp;ĐT theo Thông tư 36/2017 </w:t>
      </w:r>
      <w:r w:rsidRPr="00110BF6">
        <w:rPr>
          <w:rFonts w:eastAsia="Times New Roman" w:cs="Times New Roman"/>
          <w:i/>
          <w:iCs/>
          <w:color w:val="333333"/>
          <w:szCs w:val="28"/>
          <w:shd w:val="clear" w:color="auto" w:fill="FFFFFF"/>
        </w:rPr>
        <w:t>(xong trước 30/9 hàng năm)</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b/>
          <w:bCs/>
          <w:color w:val="333333"/>
          <w:szCs w:val="28"/>
          <w:shd w:val="clear" w:color="auto" w:fill="FFFFFF"/>
        </w:rPr>
        <w:t>3. Phân công nhiệm vụ các thành viên ban chỉ đạo</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Hiệu trưởng: chịu trách nhiệm thực hiện quản lý và công khai đội ngũ, cán bộ quản lý, tài chính, tài sản, thực hiện kiểm định chất lượng giáo dục của đơn vị. Thực hiện công tác thi đua khen thưởng, động viên, giám sát, đôn đốc  các hoạt động công khai của đơn vị. Xây dựng kế hoạch, báo cáo, giải trình trước các cơ quan có thẩm quyền.</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Phó hiệu trưởng: chịu trách nhiệm thực hiện quản lý và công khai chất lượng giáo dục và chất lượng giáo dục thực tế, của đơn vị. Phối hợp cùng với Hiệu trưởng thực hiện kiểm định chất lượng giáo dục của đơn vị.</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pacing w:val="-4"/>
          <w:szCs w:val="28"/>
          <w:shd w:val="clear" w:color="auto" w:fill="FFFFFF"/>
        </w:rPr>
        <w:lastRenderedPageBreak/>
        <w:t>- Chủ tịch công đoàn: chịu trách nhiệm thực hiện quản lý và công khai về cơ sở vật chất và cùng với Hiệu trưởng thực hiện kiểm định chất lượng giáo dục của đơn vị.</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Tổ trưởng CM: Thực hiện thống kê kết quả giảng dạy và giáo dục của cá nhân, tổ, kết quả tự bồi dưỡng nâng cao trình độ, tự đánh giá phân loại giáo viên  trong tổ hàng năm để thực hiện công khai theo quy định.</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zCs w:val="28"/>
          <w:shd w:val="clear" w:color="auto" w:fill="FFFFFF"/>
        </w:rPr>
        <w:t>- Bộ phận tài vụ: Quyết toán thu, chi theo quy định, lưu giữ chứng từ tài chính khoa học để phục vụ cho công tác kiểm tra giám sát khi được yêu cầu.</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eastAsia="Times New Roman" w:cs="Times New Roman"/>
          <w:color w:val="333333"/>
          <w:spacing w:val="6"/>
          <w:szCs w:val="28"/>
          <w:shd w:val="clear" w:color="auto" w:fill="FFFFFF"/>
        </w:rPr>
        <w:t xml:space="preserve">Trên đây là kế hoạch thực hiện quy chế công khai của trường Tiểu học </w:t>
      </w:r>
      <w:r>
        <w:rPr>
          <w:rFonts w:eastAsia="Times New Roman" w:cs="Times New Roman"/>
          <w:color w:val="333333"/>
          <w:spacing w:val="6"/>
          <w:szCs w:val="28"/>
          <w:shd w:val="clear" w:color="auto" w:fill="FFFFFF"/>
        </w:rPr>
        <w:t>Đức Xương</w:t>
      </w:r>
      <w:r w:rsidRPr="00110BF6">
        <w:rPr>
          <w:rFonts w:eastAsia="Times New Roman" w:cs="Times New Roman"/>
          <w:color w:val="333333"/>
          <w:spacing w:val="6"/>
          <w:szCs w:val="28"/>
          <w:shd w:val="clear" w:color="auto" w:fill="FFFFFF"/>
        </w:rPr>
        <w:t xml:space="preserve"> năm học 2022-2023, yêu cầu các thành viên trong nhà trường triển khai, tổ chức, thực hiện nghiêm túc đúng quy định. Trong quá trình tổ chức có khó khăn vướng mắc báo cáo Hiệu trưởng xem xét giải quyết./.</w:t>
      </w:r>
    </w:p>
    <w:p w:rsidR="00110BF6" w:rsidRPr="00110BF6" w:rsidRDefault="00110BF6" w:rsidP="00110BF6">
      <w:pPr>
        <w:spacing w:after="150" w:line="360" w:lineRule="auto"/>
        <w:ind w:firstLine="720"/>
        <w:jc w:val="both"/>
        <w:rPr>
          <w:rFonts w:ascii="Roboto" w:eastAsia="Times New Roman" w:hAnsi="Roboto" w:cs="Times New Roman"/>
          <w:color w:val="333333"/>
          <w:sz w:val="20"/>
          <w:szCs w:val="20"/>
        </w:rPr>
      </w:pPr>
      <w:r w:rsidRPr="00110BF6">
        <w:rPr>
          <w:rFonts w:ascii="Roboto" w:eastAsia="Times New Roman" w:hAnsi="Roboto" w:cs="Times New Roman"/>
          <w:color w:val="333333"/>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5145"/>
        <w:gridCol w:w="4035"/>
      </w:tblGrid>
      <w:tr w:rsidR="00110BF6" w:rsidRPr="00110BF6" w:rsidTr="00110BF6">
        <w:tc>
          <w:tcPr>
            <w:tcW w:w="5145" w:type="dxa"/>
            <w:tcMar>
              <w:top w:w="0" w:type="dxa"/>
              <w:left w:w="105" w:type="dxa"/>
              <w:bottom w:w="0" w:type="dxa"/>
              <w:right w:w="105" w:type="dxa"/>
            </w:tcMar>
            <w:hideMark/>
          </w:tcPr>
          <w:p w:rsidR="00110BF6" w:rsidRPr="00110BF6" w:rsidRDefault="00110BF6" w:rsidP="00110BF6">
            <w:pPr>
              <w:spacing w:after="150" w:line="360" w:lineRule="auto"/>
              <w:jc w:val="both"/>
              <w:rPr>
                <w:rFonts w:eastAsia="Times New Roman" w:cs="Times New Roman"/>
                <w:sz w:val="24"/>
                <w:szCs w:val="24"/>
              </w:rPr>
            </w:pPr>
            <w:r w:rsidRPr="00110BF6">
              <w:rPr>
                <w:rFonts w:eastAsia="Times New Roman" w:cs="Times New Roman"/>
                <w:b/>
                <w:bCs/>
                <w:iCs/>
                <w:sz w:val="24"/>
                <w:szCs w:val="24"/>
              </w:rPr>
              <w:t>Nơi nhận:</w:t>
            </w:r>
          </w:p>
          <w:p w:rsidR="00110BF6" w:rsidRPr="00110BF6" w:rsidRDefault="00110BF6" w:rsidP="00110BF6">
            <w:pPr>
              <w:spacing w:after="150" w:line="360" w:lineRule="auto"/>
              <w:jc w:val="both"/>
              <w:rPr>
                <w:rFonts w:eastAsia="Times New Roman" w:cs="Times New Roman"/>
                <w:sz w:val="24"/>
                <w:szCs w:val="24"/>
              </w:rPr>
            </w:pPr>
            <w:r w:rsidRPr="00110BF6">
              <w:rPr>
                <w:rFonts w:eastAsia="Times New Roman" w:cs="Times New Roman"/>
                <w:sz w:val="22"/>
              </w:rPr>
              <w:t xml:space="preserve">- Phòng GD&amp;ĐT </w:t>
            </w:r>
            <w:r>
              <w:rPr>
                <w:rFonts w:eastAsia="Times New Roman" w:cs="Times New Roman"/>
                <w:sz w:val="22"/>
              </w:rPr>
              <w:t>Gia Lộc</w:t>
            </w:r>
            <w:r w:rsidRPr="00110BF6">
              <w:rPr>
                <w:rFonts w:eastAsia="Times New Roman" w:cs="Times New Roman"/>
                <w:sz w:val="22"/>
              </w:rPr>
              <w:t>;</w:t>
            </w:r>
          </w:p>
          <w:p w:rsidR="00110BF6" w:rsidRPr="00110BF6" w:rsidRDefault="00110BF6" w:rsidP="00110BF6">
            <w:pPr>
              <w:spacing w:after="150" w:line="360" w:lineRule="auto"/>
              <w:jc w:val="both"/>
              <w:rPr>
                <w:rFonts w:eastAsia="Times New Roman" w:cs="Times New Roman"/>
                <w:sz w:val="24"/>
                <w:szCs w:val="24"/>
              </w:rPr>
            </w:pPr>
            <w:r w:rsidRPr="00110BF6">
              <w:rPr>
                <w:rFonts w:eastAsia="Times New Roman" w:cs="Times New Roman"/>
                <w:sz w:val="22"/>
              </w:rPr>
              <w:t>- Các thành viên nhà trường (qua Website trường);</w:t>
            </w:r>
          </w:p>
          <w:p w:rsidR="00110BF6" w:rsidRPr="00110BF6" w:rsidRDefault="00110BF6" w:rsidP="00110BF6">
            <w:pPr>
              <w:spacing w:after="150" w:line="360" w:lineRule="auto"/>
              <w:jc w:val="both"/>
              <w:rPr>
                <w:rFonts w:eastAsia="Times New Roman" w:cs="Times New Roman"/>
                <w:sz w:val="24"/>
                <w:szCs w:val="24"/>
              </w:rPr>
            </w:pPr>
            <w:r w:rsidRPr="00110BF6">
              <w:rPr>
                <w:rFonts w:eastAsia="Times New Roman" w:cs="Times New Roman"/>
                <w:sz w:val="22"/>
              </w:rPr>
              <w:t>- Lưu VT.</w:t>
            </w:r>
          </w:p>
        </w:tc>
        <w:tc>
          <w:tcPr>
            <w:tcW w:w="4035" w:type="dxa"/>
            <w:tcMar>
              <w:top w:w="0" w:type="dxa"/>
              <w:left w:w="105" w:type="dxa"/>
              <w:bottom w:w="0" w:type="dxa"/>
              <w:right w:w="105" w:type="dxa"/>
            </w:tcMar>
            <w:hideMark/>
          </w:tcPr>
          <w:p w:rsidR="00110BF6" w:rsidRPr="00110BF6" w:rsidRDefault="00110BF6" w:rsidP="00110BF6">
            <w:pPr>
              <w:spacing w:after="150" w:line="360" w:lineRule="auto"/>
              <w:jc w:val="center"/>
              <w:rPr>
                <w:rFonts w:eastAsia="Times New Roman" w:cs="Times New Roman"/>
                <w:sz w:val="24"/>
                <w:szCs w:val="24"/>
              </w:rPr>
            </w:pPr>
            <w:r w:rsidRPr="00110BF6">
              <w:rPr>
                <w:rFonts w:eastAsia="Times New Roman" w:cs="Times New Roman"/>
                <w:b/>
                <w:bCs/>
                <w:szCs w:val="28"/>
              </w:rPr>
              <w:t>HIỆU TRƯỞNG</w:t>
            </w:r>
          </w:p>
          <w:p w:rsidR="00110BF6" w:rsidRPr="00110BF6" w:rsidRDefault="00110BF6" w:rsidP="00110BF6">
            <w:pPr>
              <w:spacing w:after="150" w:line="360" w:lineRule="auto"/>
              <w:jc w:val="center"/>
              <w:rPr>
                <w:rFonts w:eastAsia="Times New Roman" w:cs="Times New Roman"/>
                <w:sz w:val="24"/>
                <w:szCs w:val="24"/>
              </w:rPr>
            </w:pPr>
            <w:r w:rsidRPr="00110BF6">
              <w:rPr>
                <w:rFonts w:eastAsia="Times New Roman" w:cs="Times New Roman"/>
                <w:sz w:val="24"/>
                <w:szCs w:val="24"/>
              </w:rPr>
              <w:t> </w:t>
            </w:r>
          </w:p>
          <w:p w:rsidR="00110BF6" w:rsidRPr="00110BF6" w:rsidRDefault="00110BF6" w:rsidP="00110BF6">
            <w:pPr>
              <w:spacing w:after="150" w:line="360" w:lineRule="auto"/>
              <w:jc w:val="center"/>
              <w:rPr>
                <w:rFonts w:eastAsia="Times New Roman" w:cs="Times New Roman"/>
                <w:sz w:val="24"/>
                <w:szCs w:val="24"/>
              </w:rPr>
            </w:pPr>
            <w:r w:rsidRPr="00110BF6">
              <w:rPr>
                <w:rFonts w:eastAsia="Times New Roman" w:cs="Times New Roman"/>
                <w:sz w:val="24"/>
                <w:szCs w:val="24"/>
              </w:rPr>
              <w:t> </w:t>
            </w:r>
          </w:p>
          <w:p w:rsidR="00110BF6" w:rsidRPr="00110BF6" w:rsidRDefault="00110BF6" w:rsidP="00110BF6">
            <w:pPr>
              <w:spacing w:after="150" w:line="360" w:lineRule="auto"/>
              <w:jc w:val="center"/>
              <w:rPr>
                <w:rFonts w:eastAsia="Times New Roman" w:cs="Times New Roman"/>
                <w:sz w:val="24"/>
                <w:szCs w:val="24"/>
              </w:rPr>
            </w:pPr>
            <w:r w:rsidRPr="00110BF6">
              <w:rPr>
                <w:rFonts w:eastAsia="Times New Roman" w:cs="Times New Roman"/>
                <w:b/>
                <w:bCs/>
                <w:szCs w:val="28"/>
              </w:rPr>
              <w:t xml:space="preserve">Đinh Thị Hương </w:t>
            </w:r>
          </w:p>
        </w:tc>
      </w:tr>
    </w:tbl>
    <w:p w:rsidR="00EB5DC3" w:rsidRDefault="00EB5DC3" w:rsidP="00110BF6">
      <w:pPr>
        <w:spacing w:line="360" w:lineRule="auto"/>
      </w:pPr>
    </w:p>
    <w:sectPr w:rsidR="00EB5DC3" w:rsidSect="00110BF6">
      <w:headerReference w:type="default" r:id="rId7"/>
      <w:pgSz w:w="12240" w:h="15840"/>
      <w:pgMar w:top="851" w:right="1134"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A6D" w:rsidRDefault="00A01A6D" w:rsidP="00110BF6">
      <w:pPr>
        <w:spacing w:after="0" w:line="240" w:lineRule="auto"/>
      </w:pPr>
      <w:r>
        <w:separator/>
      </w:r>
    </w:p>
  </w:endnote>
  <w:endnote w:type="continuationSeparator" w:id="0">
    <w:p w:rsidR="00A01A6D" w:rsidRDefault="00A01A6D" w:rsidP="0011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A6D" w:rsidRDefault="00A01A6D" w:rsidP="00110BF6">
      <w:pPr>
        <w:spacing w:after="0" w:line="240" w:lineRule="auto"/>
      </w:pPr>
      <w:r>
        <w:separator/>
      </w:r>
    </w:p>
  </w:footnote>
  <w:footnote w:type="continuationSeparator" w:id="0">
    <w:p w:rsidR="00A01A6D" w:rsidRDefault="00A01A6D" w:rsidP="00110B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194799"/>
      <w:docPartObj>
        <w:docPartGallery w:val="Page Numbers (Top of Page)"/>
        <w:docPartUnique/>
      </w:docPartObj>
    </w:sdtPr>
    <w:sdtEndPr>
      <w:rPr>
        <w:noProof/>
      </w:rPr>
    </w:sdtEndPr>
    <w:sdtContent>
      <w:p w:rsidR="00110BF6" w:rsidRDefault="00110BF6">
        <w:pPr>
          <w:pStyle w:val="Header"/>
          <w:jc w:val="center"/>
        </w:pPr>
        <w:r>
          <w:fldChar w:fldCharType="begin"/>
        </w:r>
        <w:r>
          <w:instrText xml:space="preserve"> PAGE   \* MERGEFORMAT </w:instrText>
        </w:r>
        <w:r>
          <w:fldChar w:fldCharType="separate"/>
        </w:r>
        <w:r w:rsidR="00510D37">
          <w:rPr>
            <w:noProof/>
          </w:rPr>
          <w:t>4</w:t>
        </w:r>
        <w:r>
          <w:rPr>
            <w:noProof/>
          </w:rPr>
          <w:fldChar w:fldCharType="end"/>
        </w:r>
      </w:p>
    </w:sdtContent>
  </w:sdt>
  <w:p w:rsidR="00110BF6" w:rsidRDefault="00110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F6"/>
    <w:rsid w:val="00110BF6"/>
    <w:rsid w:val="00510D37"/>
    <w:rsid w:val="005E0F43"/>
    <w:rsid w:val="00A01A6D"/>
    <w:rsid w:val="00C57716"/>
    <w:rsid w:val="00EB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B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BF6"/>
    <w:rPr>
      <w:rFonts w:eastAsia="Times New Roman" w:cs="Times New Roman"/>
      <w:b/>
      <w:bCs/>
      <w:kern w:val="36"/>
      <w:sz w:val="48"/>
      <w:szCs w:val="48"/>
    </w:rPr>
  </w:style>
  <w:style w:type="character" w:styleId="Hyperlink">
    <w:name w:val="Hyperlink"/>
    <w:basedOn w:val="DefaultParagraphFont"/>
    <w:uiPriority w:val="99"/>
    <w:semiHidden/>
    <w:unhideWhenUsed/>
    <w:rsid w:val="00110BF6"/>
    <w:rPr>
      <w:color w:val="0000FF"/>
      <w:u w:val="single"/>
    </w:rPr>
  </w:style>
  <w:style w:type="character" w:customStyle="1" w:styleId="text-mobile">
    <w:name w:val="text-mobile"/>
    <w:basedOn w:val="DefaultParagraphFont"/>
    <w:rsid w:val="00110BF6"/>
  </w:style>
  <w:style w:type="paragraph" w:styleId="NormalWeb">
    <w:name w:val="Normal (Web)"/>
    <w:basedOn w:val="Normal"/>
    <w:uiPriority w:val="99"/>
    <w:unhideWhenUsed/>
    <w:rsid w:val="00110BF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1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F6"/>
  </w:style>
  <w:style w:type="paragraph" w:styleId="Footer">
    <w:name w:val="footer"/>
    <w:basedOn w:val="Normal"/>
    <w:link w:val="FooterChar"/>
    <w:uiPriority w:val="99"/>
    <w:unhideWhenUsed/>
    <w:rsid w:val="0011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0BF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BF6"/>
    <w:rPr>
      <w:rFonts w:eastAsia="Times New Roman" w:cs="Times New Roman"/>
      <w:b/>
      <w:bCs/>
      <w:kern w:val="36"/>
      <w:sz w:val="48"/>
      <w:szCs w:val="48"/>
    </w:rPr>
  </w:style>
  <w:style w:type="character" w:styleId="Hyperlink">
    <w:name w:val="Hyperlink"/>
    <w:basedOn w:val="DefaultParagraphFont"/>
    <w:uiPriority w:val="99"/>
    <w:semiHidden/>
    <w:unhideWhenUsed/>
    <w:rsid w:val="00110BF6"/>
    <w:rPr>
      <w:color w:val="0000FF"/>
      <w:u w:val="single"/>
    </w:rPr>
  </w:style>
  <w:style w:type="character" w:customStyle="1" w:styleId="text-mobile">
    <w:name w:val="text-mobile"/>
    <w:basedOn w:val="DefaultParagraphFont"/>
    <w:rsid w:val="00110BF6"/>
  </w:style>
  <w:style w:type="paragraph" w:styleId="NormalWeb">
    <w:name w:val="Normal (Web)"/>
    <w:basedOn w:val="Normal"/>
    <w:uiPriority w:val="99"/>
    <w:unhideWhenUsed/>
    <w:rsid w:val="00110BF6"/>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110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F6"/>
  </w:style>
  <w:style w:type="paragraph" w:styleId="Footer">
    <w:name w:val="footer"/>
    <w:basedOn w:val="Normal"/>
    <w:link w:val="FooterChar"/>
    <w:uiPriority w:val="99"/>
    <w:unhideWhenUsed/>
    <w:rsid w:val="00110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5523">
      <w:bodyDiv w:val="1"/>
      <w:marLeft w:val="0"/>
      <w:marRight w:val="0"/>
      <w:marTop w:val="0"/>
      <w:marBottom w:val="0"/>
      <w:divBdr>
        <w:top w:val="none" w:sz="0" w:space="0" w:color="auto"/>
        <w:left w:val="none" w:sz="0" w:space="0" w:color="auto"/>
        <w:bottom w:val="none" w:sz="0" w:space="0" w:color="auto"/>
        <w:right w:val="none" w:sz="0" w:space="0" w:color="auto"/>
      </w:divBdr>
      <w:divsChild>
        <w:div w:id="879514976">
          <w:marLeft w:val="0"/>
          <w:marRight w:val="0"/>
          <w:marTop w:val="0"/>
          <w:marBottom w:val="0"/>
          <w:divBdr>
            <w:top w:val="none" w:sz="0" w:space="0" w:color="auto"/>
            <w:left w:val="none" w:sz="0" w:space="0" w:color="auto"/>
            <w:bottom w:val="none" w:sz="0" w:space="0" w:color="auto"/>
            <w:right w:val="none" w:sz="0" w:space="0" w:color="auto"/>
          </w:divBdr>
          <w:divsChild>
            <w:div w:id="1902981652">
              <w:marLeft w:val="0"/>
              <w:marRight w:val="0"/>
              <w:marTop w:val="0"/>
              <w:marBottom w:val="0"/>
              <w:divBdr>
                <w:top w:val="none" w:sz="0" w:space="0" w:color="auto"/>
                <w:left w:val="none" w:sz="0" w:space="0" w:color="auto"/>
                <w:bottom w:val="none" w:sz="0" w:space="0" w:color="auto"/>
                <w:right w:val="none" w:sz="0" w:space="0" w:color="auto"/>
              </w:divBdr>
              <w:divsChild>
                <w:div w:id="559362064">
                  <w:marLeft w:val="0"/>
                  <w:marRight w:val="0"/>
                  <w:marTop w:val="0"/>
                  <w:marBottom w:val="0"/>
                  <w:divBdr>
                    <w:top w:val="none" w:sz="0" w:space="0" w:color="auto"/>
                    <w:left w:val="none" w:sz="0" w:space="0" w:color="auto"/>
                    <w:bottom w:val="none" w:sz="0" w:space="0" w:color="auto"/>
                    <w:right w:val="none" w:sz="0" w:space="0" w:color="auto"/>
                  </w:divBdr>
                  <w:divsChild>
                    <w:div w:id="1578319354">
                      <w:marLeft w:val="0"/>
                      <w:marRight w:val="195"/>
                      <w:marTop w:val="0"/>
                      <w:marBottom w:val="0"/>
                      <w:divBdr>
                        <w:top w:val="none" w:sz="0" w:space="0" w:color="auto"/>
                        <w:left w:val="none" w:sz="0" w:space="0" w:color="auto"/>
                        <w:bottom w:val="none" w:sz="0" w:space="0" w:color="auto"/>
                        <w:right w:val="none" w:sz="0" w:space="0" w:color="auto"/>
                      </w:divBdr>
                    </w:div>
                    <w:div w:id="12686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1632">
          <w:marLeft w:val="0"/>
          <w:marRight w:val="0"/>
          <w:marTop w:val="0"/>
          <w:marBottom w:val="0"/>
          <w:divBdr>
            <w:top w:val="none" w:sz="0" w:space="0" w:color="auto"/>
            <w:left w:val="none" w:sz="0" w:space="0" w:color="auto"/>
            <w:bottom w:val="none" w:sz="0" w:space="0" w:color="auto"/>
            <w:right w:val="none" w:sz="0" w:space="0" w:color="auto"/>
          </w:divBdr>
          <w:divsChild>
            <w:div w:id="178201187">
              <w:marLeft w:val="0"/>
              <w:marRight w:val="0"/>
              <w:marTop w:val="0"/>
              <w:marBottom w:val="0"/>
              <w:divBdr>
                <w:top w:val="none" w:sz="0" w:space="0" w:color="auto"/>
                <w:left w:val="none" w:sz="0" w:space="0" w:color="auto"/>
                <w:bottom w:val="none" w:sz="0" w:space="0" w:color="auto"/>
                <w:right w:val="none" w:sz="0" w:space="0" w:color="auto"/>
              </w:divBdr>
              <w:divsChild>
                <w:div w:id="1116749764">
                  <w:marLeft w:val="0"/>
                  <w:marRight w:val="0"/>
                  <w:marTop w:val="0"/>
                  <w:marBottom w:val="0"/>
                  <w:divBdr>
                    <w:top w:val="none" w:sz="0" w:space="0" w:color="auto"/>
                    <w:left w:val="none" w:sz="0" w:space="0" w:color="auto"/>
                    <w:bottom w:val="none" w:sz="0" w:space="0" w:color="auto"/>
                    <w:right w:val="none" w:sz="0" w:space="0" w:color="auto"/>
                  </w:divBdr>
                </w:div>
                <w:div w:id="14421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2023-07-20T08:04:00Z</cp:lastPrinted>
  <dcterms:created xsi:type="dcterms:W3CDTF">2023-07-20T07:54:00Z</dcterms:created>
  <dcterms:modified xsi:type="dcterms:W3CDTF">2023-10-16T07:53:00Z</dcterms:modified>
</cp:coreProperties>
</file>